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DCFB" w14:textId="1C464D11" w:rsidR="00627378" w:rsidRDefault="001D50BA" w:rsidP="00B7075D">
      <w:pPr>
        <w:rPr>
          <w:rFonts w:ascii="Arial" w:hAnsi="Arial" w:cs="Arial"/>
          <w:b/>
          <w:bCs/>
        </w:rPr>
      </w:pPr>
      <w:r>
        <w:rPr>
          <w:rFonts w:ascii="Arial" w:hAnsi="Arial" w:cs="Arial"/>
          <w:b/>
          <w:bCs/>
        </w:rPr>
        <w:t xml:space="preserve">Bible Study </w:t>
      </w:r>
      <w:r w:rsidR="001054FF">
        <w:rPr>
          <w:rFonts w:ascii="Arial" w:hAnsi="Arial" w:cs="Arial"/>
          <w:b/>
          <w:bCs/>
        </w:rPr>
        <w:t>7-1</w:t>
      </w:r>
      <w:r w:rsidR="00B7075D">
        <w:rPr>
          <w:rFonts w:ascii="Arial" w:hAnsi="Arial" w:cs="Arial"/>
          <w:b/>
          <w:bCs/>
        </w:rPr>
        <w:t xml:space="preserve">-2026 </w:t>
      </w:r>
      <w:r w:rsidR="00B7075D" w:rsidRPr="00B7075D">
        <w:rPr>
          <w:rFonts w:ascii="Arial" w:hAnsi="Arial" w:cs="Arial"/>
          <w:b/>
          <w:bCs/>
        </w:rPr>
        <w:t> </w:t>
      </w:r>
    </w:p>
    <w:p w14:paraId="1600726D" w14:textId="77777777" w:rsidR="00CD10DE" w:rsidRPr="00CD10DE" w:rsidRDefault="00CD10DE" w:rsidP="00CD10DE">
      <w:pPr>
        <w:rPr>
          <w:rFonts w:ascii="Arial" w:hAnsi="Arial" w:cs="Arial"/>
          <w:b/>
          <w:bCs/>
        </w:rPr>
      </w:pPr>
      <w:r w:rsidRPr="00CD10DE">
        <w:rPr>
          <w:rFonts w:ascii="Arial" w:hAnsi="Arial" w:cs="Arial"/>
          <w:b/>
          <w:bCs/>
        </w:rPr>
        <w:t>The Divine Power of Meaningful Relationships: A Study of Rahab and the Impact of Word and Connection</w:t>
      </w:r>
    </w:p>
    <w:p w14:paraId="2A327ADE" w14:textId="77777777" w:rsidR="00CD10DE" w:rsidRPr="00CD10DE" w:rsidRDefault="00CD10DE" w:rsidP="00CD10DE">
      <w:pPr>
        <w:rPr>
          <w:rFonts w:ascii="Arial" w:hAnsi="Arial" w:cs="Arial"/>
          <w:b/>
          <w:bCs/>
        </w:rPr>
      </w:pPr>
      <w:r w:rsidRPr="00CD10DE">
        <w:rPr>
          <w:rFonts w:ascii="Arial" w:hAnsi="Arial" w:cs="Arial"/>
          <w:b/>
          <w:bCs/>
        </w:rPr>
        <w:t>Executive Summary</w:t>
      </w:r>
    </w:p>
    <w:p w14:paraId="6DA0641F" w14:textId="77777777" w:rsidR="00CD10DE" w:rsidRPr="00CD10DE" w:rsidRDefault="00CD10DE" w:rsidP="00CD10DE">
      <w:pPr>
        <w:rPr>
          <w:rFonts w:ascii="Arial" w:hAnsi="Arial" w:cs="Arial"/>
          <w:b/>
          <w:bCs/>
        </w:rPr>
      </w:pPr>
      <w:r w:rsidRPr="00CD10DE">
        <w:rPr>
          <w:rFonts w:ascii="Arial" w:hAnsi="Arial" w:cs="Arial"/>
          <w:b/>
          <w:bCs/>
        </w:rPr>
        <w:t>The following briefing document analyzes the theological and practical implications of meaningful relationships and the power of speech, centered on the biblical narrative of Rahab as presented in the book of Joshua. The core thesis posits that what often appear to be "chance encounters" are, in fact, divine assignments designed to alter the trajectory of lives and legacies.</w:t>
      </w:r>
    </w:p>
    <w:p w14:paraId="3D2DF26C" w14:textId="77777777" w:rsidR="00CD10DE" w:rsidRPr="00CD10DE" w:rsidRDefault="00CD10DE" w:rsidP="00CD10DE">
      <w:pPr>
        <w:rPr>
          <w:rFonts w:ascii="Arial" w:hAnsi="Arial" w:cs="Arial"/>
          <w:b/>
          <w:bCs/>
        </w:rPr>
      </w:pPr>
      <w:r w:rsidRPr="00CD10DE">
        <w:rPr>
          <w:rFonts w:ascii="Arial" w:hAnsi="Arial" w:cs="Arial"/>
          <w:b/>
          <w:bCs/>
        </w:rPr>
        <w:t>Key takeaways include:</w:t>
      </w:r>
    </w:p>
    <w:p w14:paraId="26B9E823" w14:textId="77777777" w:rsidR="00CD10DE" w:rsidRPr="00CD10DE" w:rsidRDefault="00CD10DE" w:rsidP="00CD10DE">
      <w:pPr>
        <w:numPr>
          <w:ilvl w:val="0"/>
          <w:numId w:val="31"/>
        </w:numPr>
        <w:rPr>
          <w:rFonts w:ascii="Arial" w:hAnsi="Arial" w:cs="Arial"/>
          <w:b/>
          <w:bCs/>
        </w:rPr>
      </w:pPr>
      <w:r w:rsidRPr="00CD10DE">
        <w:rPr>
          <w:rFonts w:ascii="Arial" w:hAnsi="Arial" w:cs="Arial"/>
          <w:b/>
          <w:bCs/>
        </w:rPr>
        <w:t>The Transformative Power of Speech: Words possess the inherent power to bring "life" or "death" to a situation. Positive, encouraging speech acts as a "well of life" that can sustain and direct others in times of weariness.</w:t>
      </w:r>
    </w:p>
    <w:p w14:paraId="450B4475" w14:textId="77777777" w:rsidR="00CD10DE" w:rsidRPr="00CD10DE" w:rsidRDefault="00CD10DE" w:rsidP="00CD10DE">
      <w:pPr>
        <w:numPr>
          <w:ilvl w:val="0"/>
          <w:numId w:val="31"/>
        </w:numPr>
        <w:rPr>
          <w:rFonts w:ascii="Arial" w:hAnsi="Arial" w:cs="Arial"/>
          <w:b/>
          <w:bCs/>
        </w:rPr>
      </w:pPr>
      <w:r w:rsidRPr="00CD10DE">
        <w:rPr>
          <w:rFonts w:ascii="Arial" w:hAnsi="Arial" w:cs="Arial"/>
          <w:b/>
          <w:bCs/>
        </w:rPr>
        <w:t>The Mutual Nature of Meaningful Relationships: True connection is defined by an organic, two-sided exchange where individuals provide rescue, protection, and critical information to one another.</w:t>
      </w:r>
    </w:p>
    <w:p w14:paraId="5C4E09C1" w14:textId="77777777" w:rsidR="00CD10DE" w:rsidRPr="00CD10DE" w:rsidRDefault="00CD10DE" w:rsidP="00CD10DE">
      <w:pPr>
        <w:numPr>
          <w:ilvl w:val="0"/>
          <w:numId w:val="31"/>
        </w:numPr>
        <w:rPr>
          <w:rFonts w:ascii="Arial" w:hAnsi="Arial" w:cs="Arial"/>
          <w:b/>
          <w:bCs/>
        </w:rPr>
      </w:pPr>
      <w:r w:rsidRPr="00CD10DE">
        <w:rPr>
          <w:rFonts w:ascii="Arial" w:hAnsi="Arial" w:cs="Arial"/>
          <w:b/>
          <w:bCs/>
        </w:rPr>
        <w:t>Legacy Through Connection: Rahab’s story demonstrates how a single benevolent act and a strategic relationship can elevate an individual from a marginalized social position to a place of prominence in historical and spiritual lineages.</w:t>
      </w:r>
    </w:p>
    <w:p w14:paraId="38D9155E" w14:textId="77777777" w:rsidR="00CD10DE" w:rsidRPr="00CD10DE" w:rsidRDefault="00CD10DE" w:rsidP="00CD10DE">
      <w:pPr>
        <w:numPr>
          <w:ilvl w:val="0"/>
          <w:numId w:val="31"/>
        </w:numPr>
        <w:rPr>
          <w:rFonts w:ascii="Arial" w:hAnsi="Arial" w:cs="Arial"/>
          <w:b/>
          <w:bCs/>
        </w:rPr>
      </w:pPr>
      <w:r w:rsidRPr="00CD10DE">
        <w:rPr>
          <w:rFonts w:ascii="Arial" w:hAnsi="Arial" w:cs="Arial"/>
          <w:b/>
          <w:bCs/>
        </w:rPr>
        <w:t>The Flipped Script: Divine relationships often involve a reversal of roles, where the person providing help eventually becomes the one rescued by those they initially assisted.</w:t>
      </w:r>
    </w:p>
    <w:p w14:paraId="7B159255" w14:textId="77777777" w:rsidR="00CD10DE" w:rsidRPr="00CD10DE" w:rsidRDefault="00CD10DE" w:rsidP="00CD10DE">
      <w:pPr>
        <w:rPr>
          <w:rFonts w:ascii="Arial" w:hAnsi="Arial" w:cs="Arial"/>
          <w:b/>
          <w:bCs/>
        </w:rPr>
      </w:pPr>
      <w:r w:rsidRPr="00CD10DE">
        <w:rPr>
          <w:rFonts w:ascii="Arial" w:hAnsi="Arial" w:cs="Arial"/>
          <w:b/>
          <w:bCs/>
        </w:rPr>
        <w:pict w14:anchorId="31FD3D15">
          <v:rect id="_x0000_i1049" style="width:0;height:1.5pt" o:hralign="center" o:hrstd="t" o:hr="t" fillcolor="#a0a0a0" stroked="f"/>
        </w:pict>
      </w:r>
    </w:p>
    <w:p w14:paraId="059BC942" w14:textId="77777777" w:rsidR="00CD10DE" w:rsidRPr="00CD10DE" w:rsidRDefault="00CD10DE" w:rsidP="00CD10DE">
      <w:pPr>
        <w:rPr>
          <w:rFonts w:ascii="Arial" w:hAnsi="Arial" w:cs="Arial"/>
          <w:b/>
          <w:bCs/>
        </w:rPr>
      </w:pPr>
      <w:r w:rsidRPr="00CD10DE">
        <w:rPr>
          <w:rFonts w:ascii="Arial" w:hAnsi="Arial" w:cs="Arial"/>
          <w:b/>
          <w:bCs/>
        </w:rPr>
        <w:t>The Narrative Analysis: Rahab and the Spies</w:t>
      </w:r>
    </w:p>
    <w:p w14:paraId="44849E8D" w14:textId="77777777" w:rsidR="00CD10DE" w:rsidRPr="00CD10DE" w:rsidRDefault="00CD10DE" w:rsidP="00CD10DE">
      <w:pPr>
        <w:rPr>
          <w:rFonts w:ascii="Arial" w:hAnsi="Arial" w:cs="Arial"/>
          <w:b/>
          <w:bCs/>
        </w:rPr>
      </w:pPr>
      <w:r w:rsidRPr="00CD10DE">
        <w:rPr>
          <w:rFonts w:ascii="Arial" w:hAnsi="Arial" w:cs="Arial"/>
          <w:b/>
          <w:bCs/>
        </w:rPr>
        <w:t>The account of Rahab in Jericho serves as the primary case study for the "divine power of meaningful relationships." The narrative begins with Joshua sending two spies to Jericho. Though they were outsiders whose appearance and dress set them apart, their path led them specifically to the house of Rahab, a woman identified as a harlot (prostitute).</w:t>
      </w:r>
    </w:p>
    <w:p w14:paraId="2EC35C31" w14:textId="77777777" w:rsidR="00CD10DE" w:rsidRPr="00CD10DE" w:rsidRDefault="00CD10DE" w:rsidP="00CD10DE">
      <w:pPr>
        <w:rPr>
          <w:rFonts w:ascii="Arial" w:hAnsi="Arial" w:cs="Arial"/>
          <w:b/>
          <w:bCs/>
        </w:rPr>
      </w:pPr>
      <w:r w:rsidRPr="00CD10DE">
        <w:rPr>
          <w:rFonts w:ascii="Arial" w:hAnsi="Arial" w:cs="Arial"/>
          <w:b/>
          <w:bCs/>
        </w:rPr>
        <w:t>The Strategic Assignment</w:t>
      </w:r>
    </w:p>
    <w:p w14:paraId="17B49CE5" w14:textId="77777777" w:rsidR="00CD10DE" w:rsidRPr="00CD10DE" w:rsidRDefault="00CD10DE" w:rsidP="00CD10DE">
      <w:pPr>
        <w:rPr>
          <w:rFonts w:ascii="Arial" w:hAnsi="Arial" w:cs="Arial"/>
          <w:b/>
          <w:bCs/>
        </w:rPr>
      </w:pPr>
      <w:r w:rsidRPr="00CD10DE">
        <w:rPr>
          <w:rFonts w:ascii="Arial" w:hAnsi="Arial" w:cs="Arial"/>
          <w:b/>
          <w:bCs/>
        </w:rPr>
        <w:t xml:space="preserve">The source characterizes this meeting not as a coincidence, but as a mission ordered by God. Rahab had an "assignment" that was inherently benevolent and executed at great personal risk. Had she chosen to prioritize her own safety or </w:t>
      </w:r>
      <w:r w:rsidRPr="00CD10DE">
        <w:rPr>
          <w:rFonts w:ascii="Arial" w:hAnsi="Arial" w:cs="Arial"/>
          <w:b/>
          <w:bCs/>
        </w:rPr>
        <w:lastRenderedPageBreak/>
        <w:t>ignore the situation, the spies would likely have been captured, interrogated, or killed. Instead, she harbored them on her roof and redirected the king’s messengers, effectively changing the outcome of the Israelite mission.</w:t>
      </w:r>
    </w:p>
    <w:p w14:paraId="06F3AF8C" w14:textId="77777777" w:rsidR="00CD10DE" w:rsidRPr="00CD10DE" w:rsidRDefault="00CD10DE" w:rsidP="00CD10DE">
      <w:pPr>
        <w:rPr>
          <w:rFonts w:ascii="Arial" w:hAnsi="Arial" w:cs="Arial"/>
          <w:b/>
          <w:bCs/>
        </w:rPr>
      </w:pPr>
      <w:r w:rsidRPr="00CD10DE">
        <w:rPr>
          <w:rFonts w:ascii="Arial" w:hAnsi="Arial" w:cs="Arial"/>
          <w:b/>
          <w:bCs/>
        </w:rPr>
        <w:t>Rahab’s Five Key Statements</w:t>
      </w:r>
    </w:p>
    <w:p w14:paraId="4DA243BB" w14:textId="77777777" w:rsidR="00CD10DE" w:rsidRPr="00CD10DE" w:rsidRDefault="00CD10DE" w:rsidP="00CD10DE">
      <w:pPr>
        <w:rPr>
          <w:rFonts w:ascii="Arial" w:hAnsi="Arial" w:cs="Arial"/>
          <w:b/>
          <w:bCs/>
        </w:rPr>
      </w:pPr>
      <w:r w:rsidRPr="00CD10DE">
        <w:rPr>
          <w:rFonts w:ascii="Arial" w:hAnsi="Arial" w:cs="Arial"/>
          <w:b/>
          <w:bCs/>
        </w:rPr>
        <w:t>During her conversation with the spies, Rahab made five declarations that provided the Israelites with the spiritual and tactical confidence needed for their conquest:</w:t>
      </w:r>
    </w:p>
    <w:tbl>
      <w:tblPr>
        <w:tblW w:w="0" w:type="auto"/>
        <w:tblCellMar>
          <w:top w:w="15" w:type="dxa"/>
          <w:left w:w="15" w:type="dxa"/>
          <w:bottom w:w="15" w:type="dxa"/>
          <w:right w:w="15" w:type="dxa"/>
        </w:tblCellMar>
        <w:tblLook w:val="04A0" w:firstRow="1" w:lastRow="0" w:firstColumn="1" w:lastColumn="0" w:noHBand="0" w:noVBand="1"/>
      </w:tblPr>
      <w:tblGrid>
        <w:gridCol w:w="1499"/>
        <w:gridCol w:w="1567"/>
        <w:gridCol w:w="3327"/>
        <w:gridCol w:w="2967"/>
      </w:tblGrid>
      <w:tr w:rsidR="00CD10DE" w:rsidRPr="00CD10DE" w14:paraId="2FC9F6A1" w14:textId="77777777">
        <w:tc>
          <w:tcPr>
            <w:tcW w:w="0" w:type="auto"/>
            <w:tcBorders>
              <w:bottom w:val="single" w:sz="4" w:space="0" w:color="919191"/>
            </w:tcBorders>
            <w:hideMark/>
          </w:tcPr>
          <w:p w14:paraId="650D4DC6" w14:textId="77777777" w:rsidR="00CD10DE" w:rsidRPr="00CD10DE" w:rsidRDefault="00CD10DE" w:rsidP="00CD10DE">
            <w:pPr>
              <w:rPr>
                <w:rFonts w:ascii="Arial" w:hAnsi="Arial" w:cs="Arial"/>
                <w:b/>
                <w:bCs/>
              </w:rPr>
            </w:pPr>
            <w:r w:rsidRPr="00CD10DE">
              <w:rPr>
                <w:rFonts w:ascii="Arial" w:hAnsi="Arial" w:cs="Arial"/>
                <w:b/>
                <w:bCs/>
              </w:rPr>
              <w:t>Statement Number</w:t>
            </w:r>
          </w:p>
        </w:tc>
        <w:tc>
          <w:tcPr>
            <w:tcW w:w="0" w:type="auto"/>
            <w:tcBorders>
              <w:bottom w:val="single" w:sz="4" w:space="0" w:color="919191"/>
            </w:tcBorders>
            <w:hideMark/>
          </w:tcPr>
          <w:p w14:paraId="4A6D93E6" w14:textId="77777777" w:rsidR="00CD10DE" w:rsidRPr="00CD10DE" w:rsidRDefault="00CD10DE" w:rsidP="00CD10DE">
            <w:pPr>
              <w:rPr>
                <w:rFonts w:ascii="Arial" w:hAnsi="Arial" w:cs="Arial"/>
                <w:b/>
                <w:bCs/>
              </w:rPr>
            </w:pPr>
            <w:r w:rsidRPr="00CD10DE">
              <w:rPr>
                <w:rFonts w:ascii="Arial" w:hAnsi="Arial" w:cs="Arial"/>
                <w:b/>
                <w:bCs/>
              </w:rPr>
              <w:t>Scriptural Reference</w:t>
            </w:r>
          </w:p>
        </w:tc>
        <w:tc>
          <w:tcPr>
            <w:tcW w:w="0" w:type="auto"/>
            <w:tcBorders>
              <w:bottom w:val="single" w:sz="4" w:space="0" w:color="919191"/>
            </w:tcBorders>
            <w:hideMark/>
          </w:tcPr>
          <w:p w14:paraId="68CFB8C4" w14:textId="77777777" w:rsidR="00CD10DE" w:rsidRPr="00CD10DE" w:rsidRDefault="00CD10DE" w:rsidP="00CD10DE">
            <w:pPr>
              <w:rPr>
                <w:rFonts w:ascii="Arial" w:hAnsi="Arial" w:cs="Arial"/>
                <w:b/>
                <w:bCs/>
              </w:rPr>
            </w:pPr>
            <w:r w:rsidRPr="00CD10DE">
              <w:rPr>
                <w:rFonts w:ascii="Arial" w:hAnsi="Arial" w:cs="Arial"/>
                <w:b/>
                <w:bCs/>
              </w:rPr>
              <w:t>Statement Content</w:t>
            </w:r>
          </w:p>
        </w:tc>
        <w:tc>
          <w:tcPr>
            <w:tcW w:w="0" w:type="auto"/>
            <w:tcBorders>
              <w:bottom w:val="single" w:sz="4" w:space="0" w:color="919191"/>
            </w:tcBorders>
            <w:hideMark/>
          </w:tcPr>
          <w:p w14:paraId="03F02BB8" w14:textId="77777777" w:rsidR="00CD10DE" w:rsidRPr="00CD10DE" w:rsidRDefault="00CD10DE" w:rsidP="00CD10DE">
            <w:pPr>
              <w:rPr>
                <w:rFonts w:ascii="Arial" w:hAnsi="Arial" w:cs="Arial"/>
                <w:b/>
                <w:bCs/>
              </w:rPr>
            </w:pPr>
            <w:r w:rsidRPr="00CD10DE">
              <w:rPr>
                <w:rFonts w:ascii="Arial" w:hAnsi="Arial" w:cs="Arial"/>
                <w:b/>
                <w:bCs/>
              </w:rPr>
              <w:t>Significance</w:t>
            </w:r>
          </w:p>
        </w:tc>
      </w:tr>
      <w:tr w:rsidR="00CD10DE" w:rsidRPr="00CD10DE" w14:paraId="63AFD94E" w14:textId="77777777">
        <w:tc>
          <w:tcPr>
            <w:tcW w:w="0" w:type="auto"/>
            <w:tcBorders>
              <w:bottom w:val="single" w:sz="4" w:space="0" w:color="DDE1EB"/>
            </w:tcBorders>
            <w:hideMark/>
          </w:tcPr>
          <w:p w14:paraId="72074E95" w14:textId="77777777" w:rsidR="00CD10DE" w:rsidRPr="00CD10DE" w:rsidRDefault="00CD10DE" w:rsidP="00CD10DE">
            <w:pPr>
              <w:rPr>
                <w:rFonts w:ascii="Arial" w:hAnsi="Arial" w:cs="Arial"/>
                <w:b/>
                <w:bCs/>
              </w:rPr>
            </w:pPr>
            <w:r w:rsidRPr="00CD10DE">
              <w:rPr>
                <w:rFonts w:ascii="Arial" w:hAnsi="Arial" w:cs="Arial"/>
                <w:b/>
                <w:bCs/>
              </w:rPr>
              <w:t>1</w:t>
            </w:r>
          </w:p>
        </w:tc>
        <w:tc>
          <w:tcPr>
            <w:tcW w:w="0" w:type="auto"/>
            <w:tcBorders>
              <w:bottom w:val="single" w:sz="4" w:space="0" w:color="DDE1EB"/>
            </w:tcBorders>
            <w:hideMark/>
          </w:tcPr>
          <w:p w14:paraId="1D5EB101" w14:textId="77777777" w:rsidR="00CD10DE" w:rsidRPr="00CD10DE" w:rsidRDefault="00CD10DE" w:rsidP="00CD10DE">
            <w:pPr>
              <w:rPr>
                <w:rFonts w:ascii="Arial" w:hAnsi="Arial" w:cs="Arial"/>
                <w:b/>
                <w:bCs/>
              </w:rPr>
            </w:pPr>
            <w:r w:rsidRPr="00CD10DE">
              <w:rPr>
                <w:rFonts w:ascii="Arial" w:hAnsi="Arial" w:cs="Arial"/>
                <w:b/>
                <w:bCs/>
              </w:rPr>
              <w:t>Joshua 2:9</w:t>
            </w:r>
          </w:p>
        </w:tc>
        <w:tc>
          <w:tcPr>
            <w:tcW w:w="0" w:type="auto"/>
            <w:tcBorders>
              <w:bottom w:val="single" w:sz="4" w:space="0" w:color="DDE1EB"/>
            </w:tcBorders>
            <w:hideMark/>
          </w:tcPr>
          <w:p w14:paraId="54B9250A" w14:textId="77777777" w:rsidR="00CD10DE" w:rsidRPr="00CD10DE" w:rsidRDefault="00CD10DE" w:rsidP="00CD10DE">
            <w:pPr>
              <w:rPr>
                <w:rFonts w:ascii="Arial" w:hAnsi="Arial" w:cs="Arial"/>
                <w:b/>
                <w:bCs/>
              </w:rPr>
            </w:pPr>
            <w:r w:rsidRPr="00CD10DE">
              <w:rPr>
                <w:rFonts w:ascii="Arial" w:hAnsi="Arial" w:cs="Arial"/>
                <w:b/>
                <w:bCs/>
              </w:rPr>
              <w:t xml:space="preserve">"I know the Lord </w:t>
            </w:r>
            <w:proofErr w:type="gramStart"/>
            <w:r w:rsidRPr="00CD10DE">
              <w:rPr>
                <w:rFonts w:ascii="Arial" w:hAnsi="Arial" w:cs="Arial"/>
                <w:b/>
                <w:bCs/>
              </w:rPr>
              <w:t>hath</w:t>
            </w:r>
            <w:proofErr w:type="gramEnd"/>
            <w:r w:rsidRPr="00CD10DE">
              <w:rPr>
                <w:rFonts w:ascii="Arial" w:hAnsi="Arial" w:cs="Arial"/>
                <w:b/>
                <w:bCs/>
              </w:rPr>
              <w:t xml:space="preserve"> given you the </w:t>
            </w:r>
            <w:proofErr w:type="gramStart"/>
            <w:r w:rsidRPr="00CD10DE">
              <w:rPr>
                <w:rFonts w:ascii="Arial" w:hAnsi="Arial" w:cs="Arial"/>
                <w:b/>
                <w:bCs/>
              </w:rPr>
              <w:t>land</w:t>
            </w:r>
            <w:proofErr w:type="gramEnd"/>
            <w:r w:rsidRPr="00CD10DE">
              <w:rPr>
                <w:rFonts w:ascii="Arial" w:hAnsi="Arial" w:cs="Arial"/>
                <w:b/>
                <w:bCs/>
              </w:rPr>
              <w:t>."</w:t>
            </w:r>
          </w:p>
        </w:tc>
        <w:tc>
          <w:tcPr>
            <w:tcW w:w="0" w:type="auto"/>
            <w:tcBorders>
              <w:bottom w:val="single" w:sz="4" w:space="0" w:color="DDE1EB"/>
            </w:tcBorders>
            <w:hideMark/>
          </w:tcPr>
          <w:p w14:paraId="5DCEDAE1" w14:textId="77777777" w:rsidR="00CD10DE" w:rsidRPr="00CD10DE" w:rsidRDefault="00CD10DE" w:rsidP="00CD10DE">
            <w:pPr>
              <w:rPr>
                <w:rFonts w:ascii="Arial" w:hAnsi="Arial" w:cs="Arial"/>
                <w:b/>
                <w:bCs/>
              </w:rPr>
            </w:pPr>
            <w:r w:rsidRPr="00CD10DE">
              <w:rPr>
                <w:rFonts w:ascii="Arial" w:hAnsi="Arial" w:cs="Arial"/>
                <w:b/>
                <w:bCs/>
              </w:rPr>
              <w:t>Recognition of divine providence.</w:t>
            </w:r>
          </w:p>
        </w:tc>
      </w:tr>
      <w:tr w:rsidR="00CD10DE" w:rsidRPr="00CD10DE" w14:paraId="2F6AE9EE" w14:textId="77777777">
        <w:tc>
          <w:tcPr>
            <w:tcW w:w="0" w:type="auto"/>
            <w:tcBorders>
              <w:bottom w:val="single" w:sz="4" w:space="0" w:color="DDE1EB"/>
            </w:tcBorders>
            <w:hideMark/>
          </w:tcPr>
          <w:p w14:paraId="6C3070EE" w14:textId="77777777" w:rsidR="00CD10DE" w:rsidRPr="00CD10DE" w:rsidRDefault="00CD10DE" w:rsidP="00CD10DE">
            <w:pPr>
              <w:rPr>
                <w:rFonts w:ascii="Arial" w:hAnsi="Arial" w:cs="Arial"/>
                <w:b/>
                <w:bCs/>
              </w:rPr>
            </w:pPr>
            <w:r w:rsidRPr="00CD10DE">
              <w:rPr>
                <w:rFonts w:ascii="Arial" w:hAnsi="Arial" w:cs="Arial"/>
                <w:b/>
                <w:bCs/>
              </w:rPr>
              <w:t>2</w:t>
            </w:r>
          </w:p>
        </w:tc>
        <w:tc>
          <w:tcPr>
            <w:tcW w:w="0" w:type="auto"/>
            <w:tcBorders>
              <w:bottom w:val="single" w:sz="4" w:space="0" w:color="DDE1EB"/>
            </w:tcBorders>
            <w:hideMark/>
          </w:tcPr>
          <w:p w14:paraId="1969545F" w14:textId="77777777" w:rsidR="00CD10DE" w:rsidRPr="00CD10DE" w:rsidRDefault="00CD10DE" w:rsidP="00CD10DE">
            <w:pPr>
              <w:rPr>
                <w:rFonts w:ascii="Arial" w:hAnsi="Arial" w:cs="Arial"/>
                <w:b/>
                <w:bCs/>
              </w:rPr>
            </w:pPr>
            <w:r w:rsidRPr="00CD10DE">
              <w:rPr>
                <w:rFonts w:ascii="Arial" w:hAnsi="Arial" w:cs="Arial"/>
                <w:b/>
                <w:bCs/>
              </w:rPr>
              <w:t>Joshua 2:9</w:t>
            </w:r>
          </w:p>
        </w:tc>
        <w:tc>
          <w:tcPr>
            <w:tcW w:w="0" w:type="auto"/>
            <w:tcBorders>
              <w:bottom w:val="single" w:sz="4" w:space="0" w:color="DDE1EB"/>
            </w:tcBorders>
            <w:hideMark/>
          </w:tcPr>
          <w:p w14:paraId="78D6885D" w14:textId="77777777" w:rsidR="00CD10DE" w:rsidRPr="00CD10DE" w:rsidRDefault="00CD10DE" w:rsidP="00CD10DE">
            <w:pPr>
              <w:rPr>
                <w:rFonts w:ascii="Arial" w:hAnsi="Arial" w:cs="Arial"/>
                <w:b/>
                <w:bCs/>
              </w:rPr>
            </w:pPr>
            <w:r w:rsidRPr="00CD10DE">
              <w:rPr>
                <w:rFonts w:ascii="Arial" w:hAnsi="Arial" w:cs="Arial"/>
                <w:b/>
                <w:bCs/>
              </w:rPr>
              <w:t>"Your terror is fallen upon us... all the inhabitants of the land faint."</w:t>
            </w:r>
          </w:p>
        </w:tc>
        <w:tc>
          <w:tcPr>
            <w:tcW w:w="0" w:type="auto"/>
            <w:tcBorders>
              <w:bottom w:val="single" w:sz="4" w:space="0" w:color="DDE1EB"/>
            </w:tcBorders>
            <w:hideMark/>
          </w:tcPr>
          <w:p w14:paraId="593A5F67" w14:textId="77777777" w:rsidR="00CD10DE" w:rsidRPr="00CD10DE" w:rsidRDefault="00CD10DE" w:rsidP="00CD10DE">
            <w:pPr>
              <w:rPr>
                <w:rFonts w:ascii="Arial" w:hAnsi="Arial" w:cs="Arial"/>
                <w:b/>
                <w:bCs/>
              </w:rPr>
            </w:pPr>
            <w:r w:rsidRPr="00CD10DE">
              <w:rPr>
                <w:rFonts w:ascii="Arial" w:hAnsi="Arial" w:cs="Arial"/>
                <w:b/>
                <w:bCs/>
              </w:rPr>
              <w:t>Revelation of the enemy's fear/vulnerability.</w:t>
            </w:r>
          </w:p>
        </w:tc>
      </w:tr>
      <w:tr w:rsidR="00CD10DE" w:rsidRPr="00CD10DE" w14:paraId="4647050F" w14:textId="77777777">
        <w:tc>
          <w:tcPr>
            <w:tcW w:w="0" w:type="auto"/>
            <w:tcBorders>
              <w:bottom w:val="single" w:sz="4" w:space="0" w:color="DDE1EB"/>
            </w:tcBorders>
            <w:hideMark/>
          </w:tcPr>
          <w:p w14:paraId="339D1E70" w14:textId="77777777" w:rsidR="00CD10DE" w:rsidRPr="00CD10DE" w:rsidRDefault="00CD10DE" w:rsidP="00CD10DE">
            <w:pPr>
              <w:rPr>
                <w:rFonts w:ascii="Arial" w:hAnsi="Arial" w:cs="Arial"/>
                <w:b/>
                <w:bCs/>
              </w:rPr>
            </w:pPr>
            <w:r w:rsidRPr="00CD10DE">
              <w:rPr>
                <w:rFonts w:ascii="Arial" w:hAnsi="Arial" w:cs="Arial"/>
                <w:b/>
                <w:bCs/>
              </w:rPr>
              <w:t>3</w:t>
            </w:r>
          </w:p>
        </w:tc>
        <w:tc>
          <w:tcPr>
            <w:tcW w:w="0" w:type="auto"/>
            <w:tcBorders>
              <w:bottom w:val="single" w:sz="4" w:space="0" w:color="DDE1EB"/>
            </w:tcBorders>
            <w:hideMark/>
          </w:tcPr>
          <w:p w14:paraId="2DA57366" w14:textId="77777777" w:rsidR="00CD10DE" w:rsidRPr="00CD10DE" w:rsidRDefault="00CD10DE" w:rsidP="00CD10DE">
            <w:pPr>
              <w:rPr>
                <w:rFonts w:ascii="Arial" w:hAnsi="Arial" w:cs="Arial"/>
                <w:b/>
                <w:bCs/>
              </w:rPr>
            </w:pPr>
            <w:r w:rsidRPr="00CD10DE">
              <w:rPr>
                <w:rFonts w:ascii="Arial" w:hAnsi="Arial" w:cs="Arial"/>
                <w:b/>
                <w:bCs/>
              </w:rPr>
              <w:t>Joshua 2:10</w:t>
            </w:r>
          </w:p>
        </w:tc>
        <w:tc>
          <w:tcPr>
            <w:tcW w:w="0" w:type="auto"/>
            <w:tcBorders>
              <w:bottom w:val="single" w:sz="4" w:space="0" w:color="DDE1EB"/>
            </w:tcBorders>
            <w:hideMark/>
          </w:tcPr>
          <w:p w14:paraId="3F48D92F" w14:textId="77777777" w:rsidR="00CD10DE" w:rsidRPr="00CD10DE" w:rsidRDefault="00CD10DE" w:rsidP="00CD10DE">
            <w:pPr>
              <w:rPr>
                <w:rFonts w:ascii="Arial" w:hAnsi="Arial" w:cs="Arial"/>
                <w:b/>
                <w:bCs/>
              </w:rPr>
            </w:pPr>
            <w:r w:rsidRPr="00CD10DE">
              <w:rPr>
                <w:rFonts w:ascii="Arial" w:hAnsi="Arial" w:cs="Arial"/>
                <w:b/>
                <w:bCs/>
              </w:rPr>
              <w:t>"We have heard how the Lord dried up the water of the Red Sea."</w:t>
            </w:r>
          </w:p>
        </w:tc>
        <w:tc>
          <w:tcPr>
            <w:tcW w:w="0" w:type="auto"/>
            <w:tcBorders>
              <w:bottom w:val="single" w:sz="4" w:space="0" w:color="DDE1EB"/>
            </w:tcBorders>
            <w:hideMark/>
          </w:tcPr>
          <w:p w14:paraId="68C0C4B3" w14:textId="77777777" w:rsidR="00CD10DE" w:rsidRPr="00CD10DE" w:rsidRDefault="00CD10DE" w:rsidP="00CD10DE">
            <w:pPr>
              <w:rPr>
                <w:rFonts w:ascii="Arial" w:hAnsi="Arial" w:cs="Arial"/>
                <w:b/>
                <w:bCs/>
              </w:rPr>
            </w:pPr>
            <w:r w:rsidRPr="00CD10DE">
              <w:rPr>
                <w:rFonts w:ascii="Arial" w:hAnsi="Arial" w:cs="Arial"/>
                <w:b/>
                <w:bCs/>
              </w:rPr>
              <w:t>Acknowledgment of God's historical power.</w:t>
            </w:r>
          </w:p>
        </w:tc>
      </w:tr>
      <w:tr w:rsidR="00CD10DE" w:rsidRPr="00CD10DE" w14:paraId="47F17D55" w14:textId="77777777">
        <w:tc>
          <w:tcPr>
            <w:tcW w:w="0" w:type="auto"/>
            <w:tcBorders>
              <w:bottom w:val="single" w:sz="4" w:space="0" w:color="DDE1EB"/>
            </w:tcBorders>
            <w:hideMark/>
          </w:tcPr>
          <w:p w14:paraId="2D99D7DB" w14:textId="77777777" w:rsidR="00CD10DE" w:rsidRPr="00CD10DE" w:rsidRDefault="00CD10DE" w:rsidP="00CD10DE">
            <w:pPr>
              <w:rPr>
                <w:rFonts w:ascii="Arial" w:hAnsi="Arial" w:cs="Arial"/>
                <w:b/>
                <w:bCs/>
              </w:rPr>
            </w:pPr>
            <w:r w:rsidRPr="00CD10DE">
              <w:rPr>
                <w:rFonts w:ascii="Arial" w:hAnsi="Arial" w:cs="Arial"/>
                <w:b/>
                <w:bCs/>
              </w:rPr>
              <w:t>4</w:t>
            </w:r>
          </w:p>
        </w:tc>
        <w:tc>
          <w:tcPr>
            <w:tcW w:w="0" w:type="auto"/>
            <w:tcBorders>
              <w:bottom w:val="single" w:sz="4" w:space="0" w:color="DDE1EB"/>
            </w:tcBorders>
            <w:hideMark/>
          </w:tcPr>
          <w:p w14:paraId="01FACA5F" w14:textId="77777777" w:rsidR="00CD10DE" w:rsidRPr="00CD10DE" w:rsidRDefault="00CD10DE" w:rsidP="00CD10DE">
            <w:pPr>
              <w:rPr>
                <w:rFonts w:ascii="Arial" w:hAnsi="Arial" w:cs="Arial"/>
                <w:b/>
                <w:bCs/>
              </w:rPr>
            </w:pPr>
            <w:r w:rsidRPr="00CD10DE">
              <w:rPr>
                <w:rFonts w:ascii="Arial" w:hAnsi="Arial" w:cs="Arial"/>
                <w:b/>
                <w:bCs/>
              </w:rPr>
              <w:t>Joshua 2:11</w:t>
            </w:r>
          </w:p>
        </w:tc>
        <w:tc>
          <w:tcPr>
            <w:tcW w:w="0" w:type="auto"/>
            <w:tcBorders>
              <w:bottom w:val="single" w:sz="4" w:space="0" w:color="DDE1EB"/>
            </w:tcBorders>
            <w:hideMark/>
          </w:tcPr>
          <w:p w14:paraId="0D3261E0" w14:textId="77777777" w:rsidR="00CD10DE" w:rsidRPr="00CD10DE" w:rsidRDefault="00CD10DE" w:rsidP="00CD10DE">
            <w:pPr>
              <w:rPr>
                <w:rFonts w:ascii="Arial" w:hAnsi="Arial" w:cs="Arial"/>
                <w:b/>
                <w:bCs/>
              </w:rPr>
            </w:pPr>
            <w:r w:rsidRPr="00CD10DE">
              <w:rPr>
                <w:rFonts w:ascii="Arial" w:hAnsi="Arial" w:cs="Arial"/>
                <w:b/>
                <w:bCs/>
              </w:rPr>
              <w:t>"The Lord your God, he is God in heaven and earth."</w:t>
            </w:r>
          </w:p>
        </w:tc>
        <w:tc>
          <w:tcPr>
            <w:tcW w:w="0" w:type="auto"/>
            <w:tcBorders>
              <w:bottom w:val="single" w:sz="4" w:space="0" w:color="DDE1EB"/>
            </w:tcBorders>
            <w:hideMark/>
          </w:tcPr>
          <w:p w14:paraId="60E18D2A" w14:textId="77777777" w:rsidR="00CD10DE" w:rsidRPr="00CD10DE" w:rsidRDefault="00CD10DE" w:rsidP="00CD10DE">
            <w:pPr>
              <w:rPr>
                <w:rFonts w:ascii="Arial" w:hAnsi="Arial" w:cs="Arial"/>
                <w:b/>
                <w:bCs/>
              </w:rPr>
            </w:pPr>
            <w:r w:rsidRPr="00CD10DE">
              <w:rPr>
                <w:rFonts w:ascii="Arial" w:hAnsi="Arial" w:cs="Arial"/>
                <w:b/>
                <w:bCs/>
              </w:rPr>
              <w:t>Transition from idol worship to Yahweh.</w:t>
            </w:r>
          </w:p>
        </w:tc>
      </w:tr>
      <w:tr w:rsidR="00CD10DE" w:rsidRPr="00CD10DE" w14:paraId="29F25103" w14:textId="77777777">
        <w:tc>
          <w:tcPr>
            <w:tcW w:w="0" w:type="auto"/>
            <w:tcBorders>
              <w:bottom w:val="single" w:sz="4" w:space="0" w:color="DDE1EB"/>
            </w:tcBorders>
            <w:hideMark/>
          </w:tcPr>
          <w:p w14:paraId="166204D1" w14:textId="77777777" w:rsidR="00CD10DE" w:rsidRPr="00CD10DE" w:rsidRDefault="00CD10DE" w:rsidP="00CD10DE">
            <w:pPr>
              <w:rPr>
                <w:rFonts w:ascii="Arial" w:hAnsi="Arial" w:cs="Arial"/>
                <w:b/>
                <w:bCs/>
              </w:rPr>
            </w:pPr>
            <w:r w:rsidRPr="00CD10DE">
              <w:rPr>
                <w:rFonts w:ascii="Arial" w:hAnsi="Arial" w:cs="Arial"/>
                <w:b/>
                <w:bCs/>
              </w:rPr>
              <w:t>5</w:t>
            </w:r>
          </w:p>
        </w:tc>
        <w:tc>
          <w:tcPr>
            <w:tcW w:w="0" w:type="auto"/>
            <w:tcBorders>
              <w:bottom w:val="single" w:sz="4" w:space="0" w:color="DDE1EB"/>
            </w:tcBorders>
            <w:hideMark/>
          </w:tcPr>
          <w:p w14:paraId="495F7EB9" w14:textId="77777777" w:rsidR="00CD10DE" w:rsidRPr="00CD10DE" w:rsidRDefault="00CD10DE" w:rsidP="00CD10DE">
            <w:pPr>
              <w:rPr>
                <w:rFonts w:ascii="Arial" w:hAnsi="Arial" w:cs="Arial"/>
                <w:b/>
                <w:bCs/>
              </w:rPr>
            </w:pPr>
            <w:r w:rsidRPr="00CD10DE">
              <w:rPr>
                <w:rFonts w:ascii="Arial" w:hAnsi="Arial" w:cs="Arial"/>
                <w:b/>
                <w:bCs/>
              </w:rPr>
              <w:t>Joshua 2:12</w:t>
            </w:r>
          </w:p>
        </w:tc>
        <w:tc>
          <w:tcPr>
            <w:tcW w:w="0" w:type="auto"/>
            <w:tcBorders>
              <w:bottom w:val="single" w:sz="4" w:space="0" w:color="DDE1EB"/>
            </w:tcBorders>
            <w:hideMark/>
          </w:tcPr>
          <w:p w14:paraId="6F8D4CE8" w14:textId="77777777" w:rsidR="00CD10DE" w:rsidRPr="00CD10DE" w:rsidRDefault="00CD10DE" w:rsidP="00CD10DE">
            <w:pPr>
              <w:rPr>
                <w:rFonts w:ascii="Arial" w:hAnsi="Arial" w:cs="Arial"/>
                <w:b/>
                <w:bCs/>
              </w:rPr>
            </w:pPr>
            <w:r w:rsidRPr="00CD10DE">
              <w:rPr>
                <w:rFonts w:ascii="Arial" w:hAnsi="Arial" w:cs="Arial"/>
                <w:b/>
                <w:bCs/>
              </w:rPr>
              <w:t>"I pray you, swear unto me by the Lord... [show] kindness."</w:t>
            </w:r>
          </w:p>
        </w:tc>
        <w:tc>
          <w:tcPr>
            <w:tcW w:w="0" w:type="auto"/>
            <w:tcBorders>
              <w:bottom w:val="single" w:sz="4" w:space="0" w:color="DDE1EB"/>
            </w:tcBorders>
            <w:hideMark/>
          </w:tcPr>
          <w:p w14:paraId="1ACC47FC" w14:textId="77777777" w:rsidR="00CD10DE" w:rsidRPr="00CD10DE" w:rsidRDefault="00CD10DE" w:rsidP="00CD10DE">
            <w:pPr>
              <w:rPr>
                <w:rFonts w:ascii="Arial" w:hAnsi="Arial" w:cs="Arial"/>
                <w:b/>
                <w:bCs/>
              </w:rPr>
            </w:pPr>
            <w:r w:rsidRPr="00CD10DE">
              <w:rPr>
                <w:rFonts w:ascii="Arial" w:hAnsi="Arial" w:cs="Arial"/>
                <w:b/>
                <w:bCs/>
              </w:rPr>
              <w:t>The petition for a mutual covenant.</w:t>
            </w:r>
          </w:p>
        </w:tc>
      </w:tr>
    </w:tbl>
    <w:p w14:paraId="501A97FC" w14:textId="77777777" w:rsidR="00CD10DE" w:rsidRPr="00CD10DE" w:rsidRDefault="00CD10DE" w:rsidP="00CD10DE">
      <w:pPr>
        <w:rPr>
          <w:rFonts w:ascii="Arial" w:hAnsi="Arial" w:cs="Arial"/>
          <w:b/>
          <w:bCs/>
        </w:rPr>
      </w:pPr>
      <w:r w:rsidRPr="00CD10DE">
        <w:rPr>
          <w:rFonts w:ascii="Arial" w:hAnsi="Arial" w:cs="Arial"/>
          <w:b/>
          <w:bCs/>
        </w:rPr>
        <w:t>The report the spies eventually brought back to Joshua—that the inhabitants of the land were "fainting" because of them—was information directly sourced from Rahab. This highlights how one person's words can influence the morale of an entire nation.</w:t>
      </w:r>
    </w:p>
    <w:p w14:paraId="27458BB8" w14:textId="77777777" w:rsidR="00CD10DE" w:rsidRPr="00CD10DE" w:rsidRDefault="00CD10DE" w:rsidP="00CD10DE">
      <w:pPr>
        <w:rPr>
          <w:rFonts w:ascii="Arial" w:hAnsi="Arial" w:cs="Arial"/>
          <w:b/>
          <w:bCs/>
        </w:rPr>
      </w:pPr>
      <w:r w:rsidRPr="00CD10DE">
        <w:rPr>
          <w:rFonts w:ascii="Arial" w:hAnsi="Arial" w:cs="Arial"/>
          <w:b/>
          <w:bCs/>
        </w:rPr>
        <w:pict w14:anchorId="5B1D0F84">
          <v:rect id="_x0000_i1050" style="width:0;height:1.5pt" o:hralign="center" o:hrstd="t" o:hr="t" fillcolor="#a0a0a0" stroked="f"/>
        </w:pict>
      </w:r>
    </w:p>
    <w:p w14:paraId="320DDE46" w14:textId="77777777" w:rsidR="00CD10DE" w:rsidRPr="00CD10DE" w:rsidRDefault="00CD10DE" w:rsidP="00CD10DE">
      <w:pPr>
        <w:rPr>
          <w:rFonts w:ascii="Arial" w:hAnsi="Arial" w:cs="Arial"/>
          <w:b/>
          <w:bCs/>
        </w:rPr>
      </w:pPr>
      <w:r w:rsidRPr="00CD10DE">
        <w:rPr>
          <w:rFonts w:ascii="Arial" w:hAnsi="Arial" w:cs="Arial"/>
          <w:b/>
          <w:bCs/>
        </w:rPr>
        <w:t>The Power of the Tongue: Speaking Life</w:t>
      </w:r>
    </w:p>
    <w:p w14:paraId="5914E165" w14:textId="77777777" w:rsidR="00CD10DE" w:rsidRPr="00CD10DE" w:rsidRDefault="00CD10DE" w:rsidP="00CD10DE">
      <w:pPr>
        <w:rPr>
          <w:rFonts w:ascii="Arial" w:hAnsi="Arial" w:cs="Arial"/>
          <w:b/>
          <w:bCs/>
        </w:rPr>
      </w:pPr>
      <w:r w:rsidRPr="00CD10DE">
        <w:rPr>
          <w:rFonts w:ascii="Arial" w:hAnsi="Arial" w:cs="Arial"/>
          <w:b/>
          <w:bCs/>
        </w:rPr>
        <w:t>A significant portion of the analysis focuses on the biblical assertion that "death and life are in the power of the tongue" (Proverbs 18:21). The source emphasizes that speech is a "powerful weapon" that can either destroy joy or provide essential sustenance to the weary.</w:t>
      </w:r>
    </w:p>
    <w:p w14:paraId="1117C1DA" w14:textId="77777777" w:rsidR="00CD10DE" w:rsidRPr="00CD10DE" w:rsidRDefault="00CD10DE" w:rsidP="00CD10DE">
      <w:pPr>
        <w:rPr>
          <w:rFonts w:ascii="Arial" w:hAnsi="Arial" w:cs="Arial"/>
          <w:b/>
          <w:bCs/>
        </w:rPr>
      </w:pPr>
      <w:r w:rsidRPr="00CD10DE">
        <w:rPr>
          <w:rFonts w:ascii="Arial" w:hAnsi="Arial" w:cs="Arial"/>
          <w:b/>
          <w:bCs/>
        </w:rPr>
        <w:t>Scriptural Foundations for Positive Speech</w:t>
      </w:r>
    </w:p>
    <w:p w14:paraId="577479B9" w14:textId="77777777" w:rsidR="00CD10DE" w:rsidRPr="00CD10DE" w:rsidRDefault="00CD10DE" w:rsidP="00CD10DE">
      <w:pPr>
        <w:numPr>
          <w:ilvl w:val="0"/>
          <w:numId w:val="32"/>
        </w:numPr>
        <w:rPr>
          <w:rFonts w:ascii="Arial" w:hAnsi="Arial" w:cs="Arial"/>
          <w:b/>
          <w:bCs/>
        </w:rPr>
      </w:pPr>
      <w:r w:rsidRPr="00CD10DE">
        <w:rPr>
          <w:rFonts w:ascii="Arial" w:hAnsi="Arial" w:cs="Arial"/>
          <w:b/>
          <w:bCs/>
        </w:rPr>
        <w:lastRenderedPageBreak/>
        <w:t>Proverbs 10:11: The mouth of the righteous is a "well of life," providing essential "water" (sustenance) to those around them.</w:t>
      </w:r>
    </w:p>
    <w:p w14:paraId="2A6E8A85" w14:textId="77777777" w:rsidR="00CD10DE" w:rsidRPr="00CD10DE" w:rsidRDefault="00CD10DE" w:rsidP="00CD10DE">
      <w:pPr>
        <w:numPr>
          <w:ilvl w:val="0"/>
          <w:numId w:val="32"/>
        </w:numPr>
        <w:rPr>
          <w:rFonts w:ascii="Arial" w:hAnsi="Arial" w:cs="Arial"/>
          <w:b/>
          <w:bCs/>
        </w:rPr>
      </w:pPr>
      <w:r w:rsidRPr="00CD10DE">
        <w:rPr>
          <w:rFonts w:ascii="Arial" w:hAnsi="Arial" w:cs="Arial"/>
          <w:b/>
          <w:bCs/>
        </w:rPr>
        <w:t>Proverbs 15:4: A "wholesome tongue" is a "tree of life," bearing fruit that encourages and feeds others.</w:t>
      </w:r>
    </w:p>
    <w:p w14:paraId="6DC4E1C3" w14:textId="77777777" w:rsidR="00CD10DE" w:rsidRPr="00CD10DE" w:rsidRDefault="00CD10DE" w:rsidP="00CD10DE">
      <w:pPr>
        <w:numPr>
          <w:ilvl w:val="0"/>
          <w:numId w:val="32"/>
        </w:numPr>
        <w:rPr>
          <w:rFonts w:ascii="Arial" w:hAnsi="Arial" w:cs="Arial"/>
          <w:b/>
          <w:bCs/>
        </w:rPr>
      </w:pPr>
      <w:r w:rsidRPr="00CD10DE">
        <w:rPr>
          <w:rFonts w:ascii="Arial" w:hAnsi="Arial" w:cs="Arial"/>
          <w:b/>
          <w:bCs/>
        </w:rPr>
        <w:t>Isaiah 50:4: God provides the "tongue of the learned" to know how to speak a "word in season" to those who are weary.</w:t>
      </w:r>
    </w:p>
    <w:p w14:paraId="3515E0B0" w14:textId="77777777" w:rsidR="00CD10DE" w:rsidRPr="00CD10DE" w:rsidRDefault="00CD10DE" w:rsidP="00CD10DE">
      <w:pPr>
        <w:numPr>
          <w:ilvl w:val="0"/>
          <w:numId w:val="32"/>
        </w:numPr>
        <w:rPr>
          <w:rFonts w:ascii="Arial" w:hAnsi="Arial" w:cs="Arial"/>
          <w:b/>
          <w:bCs/>
        </w:rPr>
      </w:pPr>
      <w:r w:rsidRPr="00CD10DE">
        <w:rPr>
          <w:rFonts w:ascii="Arial" w:hAnsi="Arial" w:cs="Arial"/>
          <w:b/>
          <w:bCs/>
        </w:rPr>
        <w:t xml:space="preserve">Luke 6:45: Speech is an overflow of the heart; a good person brings forth good things from </w:t>
      </w:r>
      <w:proofErr w:type="gramStart"/>
      <w:r w:rsidRPr="00CD10DE">
        <w:rPr>
          <w:rFonts w:ascii="Arial" w:hAnsi="Arial" w:cs="Arial"/>
          <w:b/>
          <w:bCs/>
        </w:rPr>
        <w:t>a "</w:t>
      </w:r>
      <w:proofErr w:type="gramEnd"/>
      <w:r w:rsidRPr="00CD10DE">
        <w:rPr>
          <w:rFonts w:ascii="Arial" w:hAnsi="Arial" w:cs="Arial"/>
          <w:b/>
          <w:bCs/>
        </w:rPr>
        <w:t>good treasure" within.</w:t>
      </w:r>
    </w:p>
    <w:p w14:paraId="23599AAE" w14:textId="77777777" w:rsidR="00CD10DE" w:rsidRPr="00CD10DE" w:rsidRDefault="00CD10DE" w:rsidP="00CD10DE">
      <w:pPr>
        <w:rPr>
          <w:rFonts w:ascii="Arial" w:hAnsi="Arial" w:cs="Arial"/>
          <w:b/>
          <w:bCs/>
        </w:rPr>
      </w:pPr>
      <w:r w:rsidRPr="00CD10DE">
        <w:rPr>
          <w:rFonts w:ascii="Arial" w:hAnsi="Arial" w:cs="Arial"/>
          <w:b/>
          <w:bCs/>
        </w:rPr>
        <w:t>The document stresses that believers are tasked to "comfort" and "edify" one another (1 Thessalonians 5:11) and "provoke one another to love and good works" (Hebrews 10:24).</w:t>
      </w:r>
    </w:p>
    <w:p w14:paraId="3F8FB76A" w14:textId="77777777" w:rsidR="00CD10DE" w:rsidRPr="00CD10DE" w:rsidRDefault="00CD10DE" w:rsidP="00CD10DE">
      <w:pPr>
        <w:rPr>
          <w:rFonts w:ascii="Arial" w:hAnsi="Arial" w:cs="Arial"/>
          <w:b/>
          <w:bCs/>
        </w:rPr>
      </w:pPr>
      <w:r w:rsidRPr="00CD10DE">
        <w:rPr>
          <w:rFonts w:ascii="Arial" w:hAnsi="Arial" w:cs="Arial"/>
          <w:b/>
          <w:bCs/>
        </w:rPr>
        <w:pict w14:anchorId="04E92056">
          <v:rect id="_x0000_i1051" style="width:0;height:1.5pt" o:hralign="center" o:hrstd="t" o:hr="t" fillcolor="#a0a0a0" stroked="f"/>
        </w:pict>
      </w:r>
    </w:p>
    <w:p w14:paraId="077C2BD0" w14:textId="77777777" w:rsidR="00CD10DE" w:rsidRPr="00CD10DE" w:rsidRDefault="00CD10DE" w:rsidP="00CD10DE">
      <w:pPr>
        <w:rPr>
          <w:rFonts w:ascii="Arial" w:hAnsi="Arial" w:cs="Arial"/>
          <w:b/>
          <w:bCs/>
        </w:rPr>
      </w:pPr>
      <w:r w:rsidRPr="00CD10DE">
        <w:rPr>
          <w:rFonts w:ascii="Arial" w:hAnsi="Arial" w:cs="Arial"/>
          <w:b/>
          <w:bCs/>
        </w:rPr>
        <w:t>Seven Signs of a Meaningful Relationship</w:t>
      </w:r>
    </w:p>
    <w:p w14:paraId="41A976EC" w14:textId="77777777" w:rsidR="00CD10DE" w:rsidRPr="00CD10DE" w:rsidRDefault="00CD10DE" w:rsidP="00CD10DE">
      <w:pPr>
        <w:rPr>
          <w:rFonts w:ascii="Arial" w:hAnsi="Arial" w:cs="Arial"/>
          <w:b/>
          <w:bCs/>
        </w:rPr>
      </w:pPr>
      <w:r w:rsidRPr="00CD10DE">
        <w:rPr>
          <w:rFonts w:ascii="Arial" w:hAnsi="Arial" w:cs="Arial"/>
          <w:b/>
          <w:bCs/>
        </w:rPr>
        <w:t>Meaningful relationships are identified by "exchanges" and "divine hookups." These connections are often between people who seemingly have nothing in common but are brought together by God to meet specific needs.</w:t>
      </w:r>
    </w:p>
    <w:p w14:paraId="1D440398" w14:textId="77777777" w:rsidR="00CD10DE" w:rsidRPr="00CD10DE" w:rsidRDefault="00CD10DE" w:rsidP="00CD10DE">
      <w:pPr>
        <w:numPr>
          <w:ilvl w:val="0"/>
          <w:numId w:val="33"/>
        </w:numPr>
        <w:rPr>
          <w:rFonts w:ascii="Arial" w:hAnsi="Arial" w:cs="Arial"/>
          <w:b/>
          <w:bCs/>
        </w:rPr>
      </w:pPr>
      <w:r w:rsidRPr="00CD10DE">
        <w:rPr>
          <w:rFonts w:ascii="Arial" w:hAnsi="Arial" w:cs="Arial"/>
          <w:b/>
          <w:bCs/>
        </w:rPr>
        <w:t xml:space="preserve">Rescue: Being </w:t>
      </w:r>
      <w:proofErr w:type="gramStart"/>
      <w:r w:rsidRPr="00CD10DE">
        <w:rPr>
          <w:rFonts w:ascii="Arial" w:hAnsi="Arial" w:cs="Arial"/>
          <w:b/>
          <w:bCs/>
        </w:rPr>
        <w:t>in a position</w:t>
      </w:r>
      <w:proofErr w:type="gramEnd"/>
      <w:r w:rsidRPr="00CD10DE">
        <w:rPr>
          <w:rFonts w:ascii="Arial" w:hAnsi="Arial" w:cs="Arial"/>
          <w:b/>
          <w:bCs/>
        </w:rPr>
        <w:t xml:space="preserve"> to save someone from trouble or danger.</w:t>
      </w:r>
    </w:p>
    <w:p w14:paraId="554A991D" w14:textId="77777777" w:rsidR="00CD10DE" w:rsidRPr="00CD10DE" w:rsidRDefault="00CD10DE" w:rsidP="00CD10DE">
      <w:pPr>
        <w:numPr>
          <w:ilvl w:val="0"/>
          <w:numId w:val="33"/>
        </w:numPr>
        <w:rPr>
          <w:rFonts w:ascii="Arial" w:hAnsi="Arial" w:cs="Arial"/>
          <w:b/>
          <w:bCs/>
        </w:rPr>
      </w:pPr>
      <w:r w:rsidRPr="00CD10DE">
        <w:rPr>
          <w:rFonts w:ascii="Arial" w:hAnsi="Arial" w:cs="Arial"/>
          <w:b/>
          <w:bCs/>
        </w:rPr>
        <w:t>Protection: Providing cover and safety for another person.</w:t>
      </w:r>
    </w:p>
    <w:p w14:paraId="29E0BE89" w14:textId="77777777" w:rsidR="00CD10DE" w:rsidRPr="00CD10DE" w:rsidRDefault="00CD10DE" w:rsidP="00CD10DE">
      <w:pPr>
        <w:numPr>
          <w:ilvl w:val="0"/>
          <w:numId w:val="33"/>
        </w:numPr>
        <w:rPr>
          <w:rFonts w:ascii="Arial" w:hAnsi="Arial" w:cs="Arial"/>
          <w:b/>
          <w:bCs/>
        </w:rPr>
      </w:pPr>
      <w:r w:rsidRPr="00CD10DE">
        <w:rPr>
          <w:rFonts w:ascii="Arial" w:hAnsi="Arial" w:cs="Arial"/>
          <w:b/>
          <w:bCs/>
        </w:rPr>
        <w:t>Information: Sharing critical knowledge or life experiences that help another person perform their tasks or meet their goals.</w:t>
      </w:r>
    </w:p>
    <w:p w14:paraId="2DFA4ECF" w14:textId="77777777" w:rsidR="00CD10DE" w:rsidRPr="00CD10DE" w:rsidRDefault="00CD10DE" w:rsidP="00CD10DE">
      <w:pPr>
        <w:numPr>
          <w:ilvl w:val="0"/>
          <w:numId w:val="33"/>
        </w:numPr>
        <w:rPr>
          <w:rFonts w:ascii="Arial" w:hAnsi="Arial" w:cs="Arial"/>
          <w:b/>
          <w:bCs/>
        </w:rPr>
      </w:pPr>
      <w:r w:rsidRPr="00CD10DE">
        <w:rPr>
          <w:rFonts w:ascii="Arial" w:hAnsi="Arial" w:cs="Arial"/>
          <w:b/>
          <w:bCs/>
        </w:rPr>
        <w:t>Advice: Offering timely, anointed wisdom that can steer someone away from danger (e.g., Rahab’s advice to the spies on which path to take).</w:t>
      </w:r>
    </w:p>
    <w:p w14:paraId="76AE2826" w14:textId="77777777" w:rsidR="00CD10DE" w:rsidRPr="00CD10DE" w:rsidRDefault="00CD10DE" w:rsidP="00CD10DE">
      <w:pPr>
        <w:numPr>
          <w:ilvl w:val="0"/>
          <w:numId w:val="33"/>
        </w:numPr>
        <w:rPr>
          <w:rFonts w:ascii="Arial" w:hAnsi="Arial" w:cs="Arial"/>
          <w:b/>
          <w:bCs/>
        </w:rPr>
      </w:pPr>
      <w:r w:rsidRPr="00CD10DE">
        <w:rPr>
          <w:rFonts w:ascii="Arial" w:hAnsi="Arial" w:cs="Arial"/>
          <w:b/>
          <w:bCs/>
        </w:rPr>
        <w:t>Help: Intentional, sometimes confidential, acts of service that go out of the way to assist another.</w:t>
      </w:r>
    </w:p>
    <w:p w14:paraId="1247288D" w14:textId="77777777" w:rsidR="00CD10DE" w:rsidRPr="00CD10DE" w:rsidRDefault="00CD10DE" w:rsidP="00CD10DE">
      <w:pPr>
        <w:numPr>
          <w:ilvl w:val="0"/>
          <w:numId w:val="33"/>
        </w:numPr>
        <w:rPr>
          <w:rFonts w:ascii="Arial" w:hAnsi="Arial" w:cs="Arial"/>
          <w:b/>
          <w:bCs/>
        </w:rPr>
      </w:pPr>
      <w:r w:rsidRPr="00CD10DE">
        <w:rPr>
          <w:rFonts w:ascii="Arial" w:hAnsi="Arial" w:cs="Arial"/>
          <w:b/>
          <w:bCs/>
        </w:rPr>
        <w:t>Cooperation: The necessity of mutual humility. The spies had to cooperate with Rahab's instructions to hide and escape, and Rahab had to cooperate with the spies' instructions to gather her family.</w:t>
      </w:r>
    </w:p>
    <w:p w14:paraId="4EEB6EAE" w14:textId="77777777" w:rsidR="00CD10DE" w:rsidRPr="00CD10DE" w:rsidRDefault="00CD10DE" w:rsidP="00CD10DE">
      <w:pPr>
        <w:numPr>
          <w:ilvl w:val="0"/>
          <w:numId w:val="33"/>
        </w:numPr>
        <w:rPr>
          <w:rFonts w:ascii="Arial" w:hAnsi="Arial" w:cs="Arial"/>
          <w:b/>
          <w:bCs/>
        </w:rPr>
      </w:pPr>
      <w:r w:rsidRPr="00CD10DE">
        <w:rPr>
          <w:rFonts w:ascii="Arial" w:hAnsi="Arial" w:cs="Arial"/>
          <w:b/>
          <w:bCs/>
        </w:rPr>
        <w:t>Reciprocity (The Flipped Script): The eventual reversal of roles where the one who rescued is now rescued by the former beneficiaries.</w:t>
      </w:r>
    </w:p>
    <w:p w14:paraId="3901F1A9" w14:textId="77777777" w:rsidR="00CD10DE" w:rsidRPr="00CD10DE" w:rsidRDefault="00CD10DE" w:rsidP="00CD10DE">
      <w:pPr>
        <w:rPr>
          <w:rFonts w:ascii="Arial" w:hAnsi="Arial" w:cs="Arial"/>
          <w:b/>
          <w:bCs/>
        </w:rPr>
      </w:pPr>
      <w:r w:rsidRPr="00CD10DE">
        <w:rPr>
          <w:rFonts w:ascii="Arial" w:hAnsi="Arial" w:cs="Arial"/>
          <w:b/>
          <w:bCs/>
        </w:rPr>
        <w:pict w14:anchorId="7E8A2D80">
          <v:rect id="_x0000_i1052" style="width:0;height:1.5pt" o:hralign="center" o:hrstd="t" o:hr="t" fillcolor="#a0a0a0" stroked="f"/>
        </w:pict>
      </w:r>
    </w:p>
    <w:p w14:paraId="1AA0C22E" w14:textId="77777777" w:rsidR="00CD10DE" w:rsidRPr="00CD10DE" w:rsidRDefault="00CD10DE" w:rsidP="00CD10DE">
      <w:pPr>
        <w:rPr>
          <w:rFonts w:ascii="Arial" w:hAnsi="Arial" w:cs="Arial"/>
          <w:b/>
          <w:bCs/>
        </w:rPr>
      </w:pPr>
      <w:r w:rsidRPr="00CD10DE">
        <w:rPr>
          <w:rFonts w:ascii="Arial" w:hAnsi="Arial" w:cs="Arial"/>
          <w:b/>
          <w:bCs/>
        </w:rPr>
        <w:t>Legacy and Transformation</w:t>
      </w:r>
    </w:p>
    <w:p w14:paraId="244613C3" w14:textId="77777777" w:rsidR="00CD10DE" w:rsidRPr="00CD10DE" w:rsidRDefault="00CD10DE" w:rsidP="00CD10DE">
      <w:pPr>
        <w:rPr>
          <w:rFonts w:ascii="Arial" w:hAnsi="Arial" w:cs="Arial"/>
          <w:b/>
          <w:bCs/>
        </w:rPr>
      </w:pPr>
      <w:r w:rsidRPr="00CD10DE">
        <w:rPr>
          <w:rFonts w:ascii="Arial" w:hAnsi="Arial" w:cs="Arial"/>
          <w:b/>
          <w:bCs/>
        </w:rPr>
        <w:lastRenderedPageBreak/>
        <w:t>The story of Rahab concludes with a profound shift in status and lineage. Her relationship with the spies led to her preservation during the fall of Jericho. More significantly, she moved from being an outsider to becoming a "hero of faith."</w:t>
      </w:r>
    </w:p>
    <w:p w14:paraId="2F70EA65" w14:textId="77777777" w:rsidR="00CD10DE" w:rsidRPr="00CD10DE" w:rsidRDefault="00CD10DE" w:rsidP="00CD10DE">
      <w:pPr>
        <w:rPr>
          <w:rFonts w:ascii="Arial" w:hAnsi="Arial" w:cs="Arial"/>
          <w:b/>
          <w:bCs/>
        </w:rPr>
      </w:pPr>
      <w:r w:rsidRPr="00CD10DE">
        <w:rPr>
          <w:rFonts w:ascii="Arial" w:hAnsi="Arial" w:cs="Arial"/>
          <w:b/>
          <w:bCs/>
        </w:rPr>
        <w:t>From Outsider to Ancestor</w:t>
      </w:r>
    </w:p>
    <w:p w14:paraId="19DCF445" w14:textId="77777777" w:rsidR="00CD10DE" w:rsidRPr="00CD10DE" w:rsidRDefault="00CD10DE" w:rsidP="00CD10DE">
      <w:pPr>
        <w:rPr>
          <w:rFonts w:ascii="Arial" w:hAnsi="Arial" w:cs="Arial"/>
          <w:b/>
          <w:bCs/>
        </w:rPr>
      </w:pPr>
      <w:r w:rsidRPr="00CD10DE">
        <w:rPr>
          <w:rFonts w:ascii="Arial" w:hAnsi="Arial" w:cs="Arial"/>
          <w:b/>
          <w:bCs/>
        </w:rPr>
        <w:t>The source notes that Rahab married Salmon, a member of the tribe of Judah, and became part of a prominent family. Her legacy includes:</w:t>
      </w:r>
    </w:p>
    <w:p w14:paraId="4C93AACC" w14:textId="77777777" w:rsidR="00CD10DE" w:rsidRPr="00CD10DE" w:rsidRDefault="00CD10DE" w:rsidP="00CD10DE">
      <w:pPr>
        <w:numPr>
          <w:ilvl w:val="0"/>
          <w:numId w:val="34"/>
        </w:numPr>
        <w:rPr>
          <w:rFonts w:ascii="Arial" w:hAnsi="Arial" w:cs="Arial"/>
          <w:b/>
          <w:bCs/>
        </w:rPr>
      </w:pPr>
      <w:r w:rsidRPr="00CD10DE">
        <w:rPr>
          <w:rFonts w:ascii="Arial" w:hAnsi="Arial" w:cs="Arial"/>
          <w:b/>
          <w:bCs/>
        </w:rPr>
        <w:t>The Lineage of Christ: Rahab is one of only four women mentioned in the genealogy of Jesus (alongside Tamar, Ruth, and Bathsheba).</w:t>
      </w:r>
    </w:p>
    <w:p w14:paraId="580C22A2" w14:textId="77777777" w:rsidR="00CD10DE" w:rsidRPr="00CD10DE" w:rsidRDefault="00CD10DE" w:rsidP="00CD10DE">
      <w:pPr>
        <w:numPr>
          <w:ilvl w:val="0"/>
          <w:numId w:val="34"/>
        </w:numPr>
        <w:rPr>
          <w:rFonts w:ascii="Arial" w:hAnsi="Arial" w:cs="Arial"/>
          <w:b/>
          <w:bCs/>
        </w:rPr>
      </w:pPr>
      <w:r w:rsidRPr="00CD10DE">
        <w:rPr>
          <w:rFonts w:ascii="Arial" w:hAnsi="Arial" w:cs="Arial"/>
          <w:b/>
          <w:bCs/>
        </w:rPr>
        <w:t>Ancestry of David: She was the mother of Boaz and the great-great-grandmother of King David.</w:t>
      </w:r>
    </w:p>
    <w:p w14:paraId="6499887A" w14:textId="77777777" w:rsidR="00CD10DE" w:rsidRPr="00CD10DE" w:rsidRDefault="00CD10DE" w:rsidP="00CD10DE">
      <w:pPr>
        <w:numPr>
          <w:ilvl w:val="0"/>
          <w:numId w:val="34"/>
        </w:numPr>
        <w:rPr>
          <w:rFonts w:ascii="Arial" w:hAnsi="Arial" w:cs="Arial"/>
          <w:b/>
          <w:bCs/>
        </w:rPr>
      </w:pPr>
      <w:r w:rsidRPr="00CD10DE">
        <w:rPr>
          <w:rFonts w:ascii="Arial" w:hAnsi="Arial" w:cs="Arial"/>
          <w:b/>
          <w:bCs/>
        </w:rPr>
        <w:t>The Faith Hall of Fame: She is specifically commended for her faith in Hebrews 11 and James 2.</w:t>
      </w:r>
    </w:p>
    <w:p w14:paraId="7115922D" w14:textId="77777777" w:rsidR="00CD10DE" w:rsidRPr="00CD10DE" w:rsidRDefault="00CD10DE" w:rsidP="00CD10DE">
      <w:pPr>
        <w:rPr>
          <w:rFonts w:ascii="Arial" w:hAnsi="Arial" w:cs="Arial"/>
          <w:b/>
          <w:bCs/>
        </w:rPr>
      </w:pPr>
      <w:r w:rsidRPr="00CD10DE">
        <w:rPr>
          <w:rFonts w:ascii="Arial" w:hAnsi="Arial" w:cs="Arial"/>
          <w:b/>
          <w:bCs/>
        </w:rPr>
        <w:t>The analysis concludes that while society may remember individuals by their "old occupations," God rewards "benevolent assignments" with a legacy of faith. Meaningful relationships are the primary vehicle through which these divine rewards and life-changing impacts are delivered.</w:t>
      </w:r>
    </w:p>
    <w:p w14:paraId="575631A5" w14:textId="0886AF3C" w:rsidR="00627378" w:rsidRDefault="00627378" w:rsidP="00CD10DE">
      <w:pPr>
        <w:rPr>
          <w:rFonts w:ascii="Arial" w:hAnsi="Arial" w:cs="Arial"/>
          <w:b/>
          <w:bCs/>
        </w:rPr>
      </w:pPr>
    </w:p>
    <w:sectPr w:rsidR="00627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4449" w14:textId="77777777" w:rsidR="00A07EA8" w:rsidRDefault="00A07EA8" w:rsidP="00B7075D">
      <w:pPr>
        <w:spacing w:after="0" w:line="240" w:lineRule="auto"/>
      </w:pPr>
      <w:r>
        <w:separator/>
      </w:r>
    </w:p>
  </w:endnote>
  <w:endnote w:type="continuationSeparator" w:id="0">
    <w:p w14:paraId="0C0BC7C0" w14:textId="77777777" w:rsidR="00A07EA8" w:rsidRDefault="00A07EA8" w:rsidP="00B7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6FA0" w14:textId="77777777" w:rsidR="00A07EA8" w:rsidRDefault="00A07EA8" w:rsidP="00B7075D">
      <w:pPr>
        <w:spacing w:after="0" w:line="240" w:lineRule="auto"/>
      </w:pPr>
      <w:r>
        <w:separator/>
      </w:r>
    </w:p>
  </w:footnote>
  <w:footnote w:type="continuationSeparator" w:id="0">
    <w:p w14:paraId="225B71BE" w14:textId="77777777" w:rsidR="00A07EA8" w:rsidRDefault="00A07EA8" w:rsidP="00B7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983"/>
    <w:multiLevelType w:val="multilevel"/>
    <w:tmpl w:val="95C2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EC5"/>
    <w:multiLevelType w:val="multilevel"/>
    <w:tmpl w:val="969E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0D7C"/>
    <w:multiLevelType w:val="multilevel"/>
    <w:tmpl w:val="21D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C7AC8"/>
    <w:multiLevelType w:val="multilevel"/>
    <w:tmpl w:val="5D8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53CC3"/>
    <w:multiLevelType w:val="multilevel"/>
    <w:tmpl w:val="8EA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1071F"/>
    <w:multiLevelType w:val="multilevel"/>
    <w:tmpl w:val="DB3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D3B55"/>
    <w:multiLevelType w:val="multilevel"/>
    <w:tmpl w:val="EF6A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45E14"/>
    <w:multiLevelType w:val="multilevel"/>
    <w:tmpl w:val="FF9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930ED6"/>
    <w:multiLevelType w:val="multilevel"/>
    <w:tmpl w:val="A57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E5078"/>
    <w:multiLevelType w:val="multilevel"/>
    <w:tmpl w:val="99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44D19"/>
    <w:multiLevelType w:val="multilevel"/>
    <w:tmpl w:val="211C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C026F"/>
    <w:multiLevelType w:val="multilevel"/>
    <w:tmpl w:val="FC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437BC"/>
    <w:multiLevelType w:val="multilevel"/>
    <w:tmpl w:val="E972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663511"/>
    <w:multiLevelType w:val="multilevel"/>
    <w:tmpl w:val="36C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A22ED"/>
    <w:multiLevelType w:val="multilevel"/>
    <w:tmpl w:val="193A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003DA"/>
    <w:multiLevelType w:val="multilevel"/>
    <w:tmpl w:val="DB0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7A6C1A"/>
    <w:multiLevelType w:val="multilevel"/>
    <w:tmpl w:val="C01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F4006"/>
    <w:multiLevelType w:val="multilevel"/>
    <w:tmpl w:val="C436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315B3"/>
    <w:multiLevelType w:val="multilevel"/>
    <w:tmpl w:val="46AA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804F7"/>
    <w:multiLevelType w:val="multilevel"/>
    <w:tmpl w:val="373E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46EED"/>
    <w:multiLevelType w:val="multilevel"/>
    <w:tmpl w:val="78B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F3E3D"/>
    <w:multiLevelType w:val="multilevel"/>
    <w:tmpl w:val="D99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553650"/>
    <w:multiLevelType w:val="multilevel"/>
    <w:tmpl w:val="CA0A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5A7A04"/>
    <w:multiLevelType w:val="multilevel"/>
    <w:tmpl w:val="A21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8C2FEA"/>
    <w:multiLevelType w:val="multilevel"/>
    <w:tmpl w:val="A88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2A70CE"/>
    <w:multiLevelType w:val="multilevel"/>
    <w:tmpl w:val="B492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B61EC"/>
    <w:multiLevelType w:val="multilevel"/>
    <w:tmpl w:val="AA5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4"/>
  </w:num>
  <w:num w:numId="2" w16cid:durableId="1372266042">
    <w:abstractNumId w:val="33"/>
  </w:num>
  <w:num w:numId="3" w16cid:durableId="1134563373">
    <w:abstractNumId w:val="11"/>
  </w:num>
  <w:num w:numId="4" w16cid:durableId="467478813">
    <w:abstractNumId w:val="17"/>
  </w:num>
  <w:num w:numId="5" w16cid:durableId="108864902">
    <w:abstractNumId w:val="30"/>
  </w:num>
  <w:num w:numId="6" w16cid:durableId="1293827331">
    <w:abstractNumId w:val="15"/>
  </w:num>
  <w:num w:numId="7" w16cid:durableId="1417900908">
    <w:abstractNumId w:val="21"/>
  </w:num>
  <w:num w:numId="8" w16cid:durableId="367067417">
    <w:abstractNumId w:val="26"/>
  </w:num>
  <w:num w:numId="9" w16cid:durableId="2038043083">
    <w:abstractNumId w:val="13"/>
  </w:num>
  <w:num w:numId="10" w16cid:durableId="1220629761">
    <w:abstractNumId w:val="12"/>
  </w:num>
  <w:num w:numId="11" w16cid:durableId="1052341489">
    <w:abstractNumId w:val="9"/>
  </w:num>
  <w:num w:numId="12" w16cid:durableId="477263382">
    <w:abstractNumId w:val="3"/>
  </w:num>
  <w:num w:numId="13" w16cid:durableId="1502426484">
    <w:abstractNumId w:val="1"/>
  </w:num>
  <w:num w:numId="14" w16cid:durableId="1423262488">
    <w:abstractNumId w:val="27"/>
  </w:num>
  <w:num w:numId="15" w16cid:durableId="1663459">
    <w:abstractNumId w:val="8"/>
  </w:num>
  <w:num w:numId="16" w16cid:durableId="2065835712">
    <w:abstractNumId w:val="29"/>
  </w:num>
  <w:num w:numId="17" w16cid:durableId="253710353">
    <w:abstractNumId w:val="16"/>
  </w:num>
  <w:num w:numId="18" w16cid:durableId="1965230957">
    <w:abstractNumId w:val="24"/>
  </w:num>
  <w:num w:numId="19" w16cid:durableId="1260873160">
    <w:abstractNumId w:val="2"/>
  </w:num>
  <w:num w:numId="20" w16cid:durableId="1672026469">
    <w:abstractNumId w:val="32"/>
  </w:num>
  <w:num w:numId="21" w16cid:durableId="814109495">
    <w:abstractNumId w:val="19"/>
  </w:num>
  <w:num w:numId="22" w16cid:durableId="1004478163">
    <w:abstractNumId w:val="6"/>
  </w:num>
  <w:num w:numId="23" w16cid:durableId="2134592343">
    <w:abstractNumId w:val="10"/>
  </w:num>
  <w:num w:numId="24" w16cid:durableId="404693702">
    <w:abstractNumId w:val="0"/>
  </w:num>
  <w:num w:numId="25" w16cid:durableId="907500835">
    <w:abstractNumId w:val="18"/>
  </w:num>
  <w:num w:numId="26" w16cid:durableId="1346444529">
    <w:abstractNumId w:val="22"/>
  </w:num>
  <w:num w:numId="27" w16cid:durableId="2144349188">
    <w:abstractNumId w:val="28"/>
  </w:num>
  <w:num w:numId="28" w16cid:durableId="1944728447">
    <w:abstractNumId w:val="23"/>
  </w:num>
  <w:num w:numId="29" w16cid:durableId="1765029181">
    <w:abstractNumId w:val="20"/>
  </w:num>
  <w:num w:numId="30" w16cid:durableId="1838036679">
    <w:abstractNumId w:val="5"/>
  </w:num>
  <w:num w:numId="31" w16cid:durableId="384331063">
    <w:abstractNumId w:val="7"/>
  </w:num>
  <w:num w:numId="32" w16cid:durableId="243421936">
    <w:abstractNumId w:val="14"/>
  </w:num>
  <w:num w:numId="33" w16cid:durableId="1834953993">
    <w:abstractNumId w:val="31"/>
  </w:num>
  <w:num w:numId="34" w16cid:durableId="13053560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1054FF"/>
    <w:rsid w:val="00151007"/>
    <w:rsid w:val="001D50BA"/>
    <w:rsid w:val="0024188D"/>
    <w:rsid w:val="00317217"/>
    <w:rsid w:val="003D69EC"/>
    <w:rsid w:val="00493A95"/>
    <w:rsid w:val="004D43B8"/>
    <w:rsid w:val="00627378"/>
    <w:rsid w:val="006436DB"/>
    <w:rsid w:val="006F6749"/>
    <w:rsid w:val="00860F21"/>
    <w:rsid w:val="009D5C6F"/>
    <w:rsid w:val="009E2BC6"/>
    <w:rsid w:val="00A07EA8"/>
    <w:rsid w:val="00B7075D"/>
    <w:rsid w:val="00C10184"/>
    <w:rsid w:val="00CD10DE"/>
    <w:rsid w:val="00E566BF"/>
    <w:rsid w:val="00EC35D8"/>
    <w:rsid w:val="00FB20AE"/>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 w:type="paragraph" w:styleId="Header">
    <w:name w:val="header"/>
    <w:basedOn w:val="Normal"/>
    <w:link w:val="HeaderChar"/>
    <w:uiPriority w:val="99"/>
    <w:unhideWhenUsed/>
    <w:rsid w:val="00B7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5D"/>
  </w:style>
  <w:style w:type="paragraph" w:styleId="Footer">
    <w:name w:val="footer"/>
    <w:basedOn w:val="Normal"/>
    <w:link w:val="FooterChar"/>
    <w:uiPriority w:val="99"/>
    <w:unhideWhenUsed/>
    <w:rsid w:val="00B7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5D"/>
  </w:style>
  <w:style w:type="character" w:styleId="Hyperlink">
    <w:name w:val="Hyperlink"/>
    <w:basedOn w:val="DefaultParagraphFont"/>
    <w:uiPriority w:val="99"/>
    <w:unhideWhenUsed/>
    <w:rsid w:val="001054FF"/>
    <w:rPr>
      <w:color w:val="467886" w:themeColor="hyperlink"/>
      <w:u w:val="single"/>
    </w:rPr>
  </w:style>
  <w:style w:type="character" w:styleId="UnresolvedMention">
    <w:name w:val="Unresolved Mention"/>
    <w:basedOn w:val="DefaultParagraphFont"/>
    <w:uiPriority w:val="99"/>
    <w:semiHidden/>
    <w:unhideWhenUsed/>
    <w:rsid w:val="0010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1190</Words>
  <Characters>5262</Characters>
  <Application>Microsoft Office Word</Application>
  <DocSecurity>0</DocSecurity>
  <Lines>82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4</cp:revision>
  <cp:lastPrinted>2026-04-20T16:16:00Z</cp:lastPrinted>
  <dcterms:created xsi:type="dcterms:W3CDTF">2026-07-02T14:02:00Z</dcterms:created>
  <dcterms:modified xsi:type="dcterms:W3CDTF">2026-07-02T14:35:00Z</dcterms:modified>
</cp:coreProperties>
</file>